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C1DE" w14:textId="0BD9D86C" w:rsidR="004870C8" w:rsidRPr="00E11015" w:rsidRDefault="00FF197C" w:rsidP="00FF197C">
      <w:pPr>
        <w:spacing w:after="0" w:line="240" w:lineRule="auto"/>
        <w:jc w:val="center"/>
        <w:rPr>
          <w:sz w:val="28"/>
          <w:szCs w:val="28"/>
        </w:rPr>
      </w:pPr>
      <w:r w:rsidRPr="00E11015">
        <w:rPr>
          <w:sz w:val="28"/>
          <w:szCs w:val="28"/>
        </w:rPr>
        <w:t>FLEXIBLE LEARNING TEMPLATE</w:t>
      </w:r>
      <w:r w:rsidR="00722FE3" w:rsidRPr="00E11015">
        <w:rPr>
          <w:sz w:val="28"/>
          <w:szCs w:val="28"/>
        </w:rPr>
        <w:t>*</w:t>
      </w:r>
    </w:p>
    <w:p w14:paraId="28CC829D" w14:textId="209CDF50" w:rsidR="00FF197C" w:rsidRDefault="00FF197C" w:rsidP="00FF197C">
      <w:pPr>
        <w:spacing w:after="0" w:line="240" w:lineRule="auto"/>
        <w:jc w:val="center"/>
      </w:pPr>
    </w:p>
    <w:p w14:paraId="5F0C223D" w14:textId="7B04724B" w:rsidR="00FF197C" w:rsidRDefault="00FF197C" w:rsidP="00FF197C">
      <w:pPr>
        <w:spacing w:after="0" w:line="240" w:lineRule="auto"/>
        <w:jc w:val="center"/>
      </w:pPr>
      <w:r>
        <w:rPr>
          <w:noProof/>
        </w:rPr>
        <mc:AlternateContent>
          <mc:Choice Requires="wps">
            <w:drawing>
              <wp:anchor distT="45720" distB="45720" distL="114300" distR="114300" simplePos="0" relativeHeight="251659264" behindDoc="0" locked="0" layoutInCell="1" allowOverlap="1" wp14:anchorId="4BCCDE7C" wp14:editId="5D00F43A">
                <wp:simplePos x="0" y="0"/>
                <wp:positionH relativeFrom="column">
                  <wp:posOffset>3077113</wp:posOffset>
                </wp:positionH>
                <wp:positionV relativeFrom="paragraph">
                  <wp:posOffset>5715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C63417" w14:textId="55872D8A" w:rsidR="00FF197C" w:rsidRDefault="00FF197C" w:rsidP="00FF197C">
                            <w:pPr>
                              <w:spacing w:after="0" w:line="240" w:lineRule="auto"/>
                            </w:pPr>
                            <w:r>
                              <w:t xml:space="preserve">Module Title: </w:t>
                            </w:r>
                          </w:p>
                          <w:p w14:paraId="7E34FC69" w14:textId="3DEAE34C" w:rsidR="00FF197C" w:rsidRDefault="00FF197C" w:rsidP="00FF197C">
                            <w:pPr>
                              <w:spacing w:after="0" w:line="240" w:lineRule="auto"/>
                            </w:pPr>
                            <w:r>
                              <w:t xml:space="preserve">Week No: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CCDE7C" id="_x0000_t202" coordsize="21600,21600" o:spt="202" path="m,l,21600r21600,l21600,xe">
                <v:stroke joinstyle="miter"/>
                <v:path gradientshapeok="t" o:connecttype="rect"/>
              </v:shapetype>
              <v:shape id="Text Box 2" o:spid="_x0000_s1026" type="#_x0000_t202" style="position:absolute;left:0;text-align:left;margin-left:242.3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">
                <v:textbox style="mso-fit-shape-to-text:t">
                  <w:txbxContent>
                    <w:p w14:paraId="5EC63417" w14:textId="55872D8A" w:rsidR="00FF197C" w:rsidRDefault="00FF197C" w:rsidP="00FF197C">
                      <w:pPr>
                        <w:spacing w:after="0" w:line="240" w:lineRule="auto"/>
                      </w:pPr>
                      <w:r>
                        <w:t xml:space="preserve">Module Title: </w:t>
                      </w:r>
                    </w:p>
                    <w:p w14:paraId="7E34FC69" w14:textId="3DEAE34C" w:rsidR="00FF197C" w:rsidRDefault="00FF197C" w:rsidP="00FF197C">
                      <w:pPr>
                        <w:spacing w:after="0" w:line="240" w:lineRule="auto"/>
                      </w:pPr>
                      <w:r>
                        <w:t xml:space="preserve">Week No: </w:t>
                      </w:r>
                    </w:p>
                  </w:txbxContent>
                </v:textbox>
                <w10:wrap type="square"/>
              </v:shape>
            </w:pict>
          </mc:Fallback>
        </mc:AlternateContent>
      </w:r>
    </w:p>
    <w:p w14:paraId="290E4D4B" w14:textId="77777777" w:rsidR="00FF197C" w:rsidRDefault="00FF197C" w:rsidP="00FF197C">
      <w:pPr>
        <w:spacing w:after="0" w:line="240" w:lineRule="auto"/>
        <w:jc w:val="center"/>
      </w:pPr>
    </w:p>
    <w:p w14:paraId="444DEDAA" w14:textId="77777777" w:rsidR="00FF197C" w:rsidRDefault="00FF197C" w:rsidP="00FF197C">
      <w:pPr>
        <w:spacing w:after="0" w:line="240" w:lineRule="auto"/>
        <w:jc w:val="center"/>
      </w:pPr>
    </w:p>
    <w:p w14:paraId="7537DFD6" w14:textId="0FED6C3F" w:rsidR="00FF197C" w:rsidRDefault="00FF197C" w:rsidP="00FF197C">
      <w:pPr>
        <w:spacing w:after="0" w:line="240" w:lineRule="auto"/>
        <w:jc w:val="center"/>
      </w:pPr>
    </w:p>
    <w:tbl>
      <w:tblPr>
        <w:tblStyle w:val="TableGrid"/>
        <w:tblW w:w="0" w:type="auto"/>
        <w:tblLook w:val="04A0" w:firstRow="1" w:lastRow="0" w:firstColumn="1" w:lastColumn="0" w:noHBand="0" w:noVBand="1"/>
      </w:tblPr>
      <w:tblGrid>
        <w:gridCol w:w="715"/>
        <w:gridCol w:w="2160"/>
        <w:gridCol w:w="2250"/>
        <w:gridCol w:w="2610"/>
        <w:gridCol w:w="2158"/>
        <w:gridCol w:w="1979"/>
        <w:gridCol w:w="1979"/>
        <w:gridCol w:w="1979"/>
      </w:tblGrid>
      <w:tr w:rsidR="003D67C8" w14:paraId="4880D4BC" w14:textId="77777777" w:rsidTr="003D67C8">
        <w:tc>
          <w:tcPr>
            <w:tcW w:w="715" w:type="dxa"/>
          </w:tcPr>
          <w:p w14:paraId="081A2F3F" w14:textId="77777777" w:rsidR="003D67C8" w:rsidRDefault="003D67C8" w:rsidP="00FF197C"/>
        </w:tc>
        <w:tc>
          <w:tcPr>
            <w:tcW w:w="7020" w:type="dxa"/>
            <w:gridSpan w:val="3"/>
            <w:shd w:val="clear" w:color="auto" w:fill="F7CAAC" w:themeFill="accent2" w:themeFillTint="66"/>
          </w:tcPr>
          <w:p w14:paraId="5D6C2DEB" w14:textId="478AC0AF" w:rsidR="003D67C8" w:rsidRPr="003D67C8" w:rsidRDefault="003D67C8" w:rsidP="003D67C8">
            <w:pPr>
              <w:jc w:val="center"/>
              <w:rPr>
                <w:b/>
                <w:bCs/>
                <w:sz w:val="24"/>
                <w:szCs w:val="24"/>
              </w:rPr>
            </w:pPr>
            <w:r w:rsidRPr="003D67C8">
              <w:rPr>
                <w:b/>
                <w:bCs/>
                <w:sz w:val="24"/>
                <w:szCs w:val="24"/>
              </w:rPr>
              <w:t>CONTENT</w:t>
            </w:r>
          </w:p>
        </w:tc>
        <w:tc>
          <w:tcPr>
            <w:tcW w:w="6116" w:type="dxa"/>
            <w:gridSpan w:val="3"/>
            <w:shd w:val="clear" w:color="auto" w:fill="FFE599" w:themeFill="accent4" w:themeFillTint="66"/>
          </w:tcPr>
          <w:p w14:paraId="55DA2C49" w14:textId="3238CC3C" w:rsidR="003D67C8" w:rsidRPr="00E11015" w:rsidRDefault="003D67C8" w:rsidP="003D67C8">
            <w:pPr>
              <w:jc w:val="center"/>
              <w:rPr>
                <w:b/>
                <w:bCs/>
              </w:rPr>
            </w:pPr>
            <w:r>
              <w:rPr>
                <w:b/>
                <w:bCs/>
              </w:rPr>
              <w:t>INSTRUCTIONAL APPROACHES</w:t>
            </w:r>
          </w:p>
        </w:tc>
        <w:tc>
          <w:tcPr>
            <w:tcW w:w="1979" w:type="dxa"/>
            <w:shd w:val="clear" w:color="auto" w:fill="C5E0B3" w:themeFill="accent6" w:themeFillTint="66"/>
          </w:tcPr>
          <w:p w14:paraId="2DE1BF9E" w14:textId="317EF3C8" w:rsidR="003D67C8" w:rsidRPr="00E11015" w:rsidRDefault="003D67C8" w:rsidP="003D67C8">
            <w:pPr>
              <w:jc w:val="center"/>
              <w:rPr>
                <w:b/>
                <w:bCs/>
              </w:rPr>
            </w:pPr>
            <w:r>
              <w:rPr>
                <w:b/>
                <w:bCs/>
              </w:rPr>
              <w:t>TIME, DELIVERY &amp; LOGISTICS</w:t>
            </w:r>
          </w:p>
        </w:tc>
      </w:tr>
      <w:tr w:rsidR="00FF197C" w14:paraId="34C92E4C" w14:textId="77777777" w:rsidTr="00C31226">
        <w:tc>
          <w:tcPr>
            <w:tcW w:w="715" w:type="dxa"/>
          </w:tcPr>
          <w:p w14:paraId="17BBC447" w14:textId="77777777" w:rsidR="00FF197C" w:rsidRDefault="00FF197C" w:rsidP="00FF197C"/>
        </w:tc>
        <w:tc>
          <w:tcPr>
            <w:tcW w:w="2160" w:type="dxa"/>
          </w:tcPr>
          <w:p w14:paraId="777C746E" w14:textId="77777777" w:rsidR="003D67C8" w:rsidRDefault="003D67C8" w:rsidP="003D67C8">
            <w:pPr>
              <w:rPr>
                <w:b/>
                <w:bCs/>
              </w:rPr>
            </w:pPr>
            <w:r w:rsidRPr="00E11015">
              <w:rPr>
                <w:b/>
                <w:bCs/>
              </w:rPr>
              <w:t>Learning outcomes (whole or partial)</w:t>
            </w:r>
          </w:p>
          <w:p w14:paraId="19658534" w14:textId="150D6BAE" w:rsidR="00FF197C" w:rsidRPr="00E11015" w:rsidRDefault="00FF197C" w:rsidP="00FF197C">
            <w:pPr>
              <w:rPr>
                <w:b/>
                <w:bCs/>
              </w:rPr>
            </w:pPr>
          </w:p>
        </w:tc>
        <w:tc>
          <w:tcPr>
            <w:tcW w:w="2250" w:type="dxa"/>
          </w:tcPr>
          <w:p w14:paraId="66B3D236" w14:textId="3EE89D25" w:rsidR="00FF197C" w:rsidRPr="00E11015" w:rsidRDefault="003D67C8" w:rsidP="00FF197C">
            <w:pPr>
              <w:rPr>
                <w:b/>
                <w:bCs/>
              </w:rPr>
            </w:pPr>
            <w:r w:rsidRPr="00E11015">
              <w:rPr>
                <w:b/>
                <w:bCs/>
              </w:rPr>
              <w:t xml:space="preserve">Teaching topic, knowledge, concepts, </w:t>
            </w:r>
            <w:proofErr w:type="spellStart"/>
            <w:r w:rsidRPr="00E11015">
              <w:rPr>
                <w:b/>
                <w:bCs/>
              </w:rPr>
              <w:t>etc</w:t>
            </w:r>
            <w:proofErr w:type="spellEnd"/>
          </w:p>
        </w:tc>
        <w:tc>
          <w:tcPr>
            <w:tcW w:w="2610" w:type="dxa"/>
          </w:tcPr>
          <w:p w14:paraId="1B9455E9" w14:textId="1D705C1D" w:rsidR="00FF197C" w:rsidRPr="00E11015" w:rsidRDefault="00FF197C" w:rsidP="00FF197C">
            <w:pPr>
              <w:rPr>
                <w:b/>
                <w:bCs/>
              </w:rPr>
            </w:pPr>
            <w:r w:rsidRPr="00E11015">
              <w:rPr>
                <w:b/>
                <w:bCs/>
              </w:rPr>
              <w:t>Teaching and Learning Materials and Resources</w:t>
            </w:r>
          </w:p>
        </w:tc>
        <w:tc>
          <w:tcPr>
            <w:tcW w:w="2158" w:type="dxa"/>
          </w:tcPr>
          <w:p w14:paraId="24B07B87" w14:textId="5F325757" w:rsidR="00FF197C" w:rsidRPr="00E11015" w:rsidRDefault="00980897" w:rsidP="00FF197C">
            <w:pPr>
              <w:rPr>
                <w:b/>
                <w:bCs/>
              </w:rPr>
            </w:pPr>
            <w:r w:rsidRPr="00E11015">
              <w:rPr>
                <w:b/>
                <w:bCs/>
              </w:rPr>
              <w:t xml:space="preserve">Teacher Activity </w:t>
            </w:r>
          </w:p>
        </w:tc>
        <w:tc>
          <w:tcPr>
            <w:tcW w:w="1979" w:type="dxa"/>
          </w:tcPr>
          <w:p w14:paraId="217FA025" w14:textId="338DF356" w:rsidR="003D67C8" w:rsidRPr="00E11015" w:rsidRDefault="003D67C8" w:rsidP="00FF197C">
            <w:pPr>
              <w:rPr>
                <w:b/>
                <w:bCs/>
              </w:rPr>
            </w:pPr>
            <w:r w:rsidRPr="00E11015">
              <w:rPr>
                <w:b/>
                <w:bCs/>
              </w:rPr>
              <w:t>Student Activity</w:t>
            </w:r>
          </w:p>
        </w:tc>
        <w:tc>
          <w:tcPr>
            <w:tcW w:w="1979" w:type="dxa"/>
          </w:tcPr>
          <w:p w14:paraId="382F6476" w14:textId="36F8CC07" w:rsidR="00FF197C" w:rsidRPr="00E11015" w:rsidRDefault="00FF197C" w:rsidP="00FF197C">
            <w:pPr>
              <w:rPr>
                <w:b/>
                <w:bCs/>
              </w:rPr>
            </w:pPr>
            <w:r w:rsidRPr="00E11015">
              <w:rPr>
                <w:b/>
                <w:bCs/>
              </w:rPr>
              <w:t>Formative or summative assessment</w:t>
            </w:r>
          </w:p>
        </w:tc>
        <w:tc>
          <w:tcPr>
            <w:tcW w:w="1979" w:type="dxa"/>
          </w:tcPr>
          <w:p w14:paraId="0D2DE57A" w14:textId="7158FFB9" w:rsidR="00FF197C" w:rsidRPr="00E11015" w:rsidRDefault="00FF197C" w:rsidP="00FF197C">
            <w:pPr>
              <w:rPr>
                <w:b/>
                <w:bCs/>
              </w:rPr>
            </w:pPr>
            <w:r w:rsidRPr="00E11015">
              <w:rPr>
                <w:b/>
                <w:bCs/>
              </w:rPr>
              <w:t>Content delivery</w:t>
            </w:r>
          </w:p>
        </w:tc>
      </w:tr>
      <w:tr w:rsidR="00FF197C" w14:paraId="25E24DCC" w14:textId="77777777" w:rsidTr="00C31226">
        <w:tc>
          <w:tcPr>
            <w:tcW w:w="715" w:type="dxa"/>
          </w:tcPr>
          <w:p w14:paraId="2501DD32" w14:textId="723119A2" w:rsidR="00FF197C" w:rsidRDefault="005E252A" w:rsidP="00FF197C">
            <w:r>
              <w:t>1</w:t>
            </w:r>
          </w:p>
        </w:tc>
        <w:tc>
          <w:tcPr>
            <w:tcW w:w="2160" w:type="dxa"/>
          </w:tcPr>
          <w:p w14:paraId="538F9ADC" w14:textId="77777777" w:rsidR="00FF197C" w:rsidRDefault="00FF197C" w:rsidP="00FF197C"/>
        </w:tc>
        <w:tc>
          <w:tcPr>
            <w:tcW w:w="2250" w:type="dxa"/>
          </w:tcPr>
          <w:p w14:paraId="4734BFA4" w14:textId="6721F680" w:rsidR="00FF197C" w:rsidRDefault="00FF197C" w:rsidP="00FF197C"/>
        </w:tc>
        <w:tc>
          <w:tcPr>
            <w:tcW w:w="2610" w:type="dxa"/>
          </w:tcPr>
          <w:p w14:paraId="4DA8C8A0" w14:textId="77777777" w:rsidR="00FF197C" w:rsidRDefault="00FF197C" w:rsidP="00FF197C"/>
        </w:tc>
        <w:tc>
          <w:tcPr>
            <w:tcW w:w="2158" w:type="dxa"/>
          </w:tcPr>
          <w:p w14:paraId="5F2577FE" w14:textId="77777777" w:rsidR="00FF197C" w:rsidRDefault="00FF197C" w:rsidP="00FF197C"/>
        </w:tc>
        <w:tc>
          <w:tcPr>
            <w:tcW w:w="1979" w:type="dxa"/>
          </w:tcPr>
          <w:p w14:paraId="3B792B42" w14:textId="77777777" w:rsidR="00FF197C" w:rsidRDefault="00FF197C" w:rsidP="00FF197C"/>
        </w:tc>
        <w:tc>
          <w:tcPr>
            <w:tcW w:w="1979" w:type="dxa"/>
          </w:tcPr>
          <w:p w14:paraId="327D509A" w14:textId="77777777" w:rsidR="00FF197C" w:rsidRDefault="00FF197C" w:rsidP="00FF197C"/>
        </w:tc>
        <w:tc>
          <w:tcPr>
            <w:tcW w:w="1979" w:type="dxa"/>
          </w:tcPr>
          <w:p w14:paraId="0C8A04AE" w14:textId="77777777" w:rsidR="00FF197C" w:rsidRDefault="00FF197C" w:rsidP="00FF197C"/>
        </w:tc>
      </w:tr>
      <w:tr w:rsidR="00FF197C" w14:paraId="71EE29D7" w14:textId="77777777" w:rsidTr="00C31226">
        <w:tc>
          <w:tcPr>
            <w:tcW w:w="715" w:type="dxa"/>
          </w:tcPr>
          <w:p w14:paraId="75CF42A1" w14:textId="60B143ED" w:rsidR="00FF197C" w:rsidRDefault="005E252A" w:rsidP="00FF197C">
            <w:r>
              <w:t>2</w:t>
            </w:r>
          </w:p>
        </w:tc>
        <w:tc>
          <w:tcPr>
            <w:tcW w:w="2160" w:type="dxa"/>
          </w:tcPr>
          <w:p w14:paraId="2B3C0B2F" w14:textId="77777777" w:rsidR="00FF197C" w:rsidRDefault="00FF197C" w:rsidP="00FF197C"/>
        </w:tc>
        <w:tc>
          <w:tcPr>
            <w:tcW w:w="2250" w:type="dxa"/>
          </w:tcPr>
          <w:p w14:paraId="3985C4BE" w14:textId="77777777" w:rsidR="00FF197C" w:rsidRDefault="00FF197C" w:rsidP="00FF197C"/>
        </w:tc>
        <w:tc>
          <w:tcPr>
            <w:tcW w:w="2610" w:type="dxa"/>
          </w:tcPr>
          <w:p w14:paraId="5BD98F7A" w14:textId="77777777" w:rsidR="00FF197C" w:rsidRDefault="00FF197C" w:rsidP="00FF197C"/>
        </w:tc>
        <w:tc>
          <w:tcPr>
            <w:tcW w:w="2158" w:type="dxa"/>
          </w:tcPr>
          <w:p w14:paraId="44622F16" w14:textId="77777777" w:rsidR="00FF197C" w:rsidRDefault="00FF197C" w:rsidP="00FF197C"/>
        </w:tc>
        <w:tc>
          <w:tcPr>
            <w:tcW w:w="1979" w:type="dxa"/>
          </w:tcPr>
          <w:p w14:paraId="05B52AD3" w14:textId="77777777" w:rsidR="00FF197C" w:rsidRDefault="00FF197C" w:rsidP="00FF197C"/>
        </w:tc>
        <w:tc>
          <w:tcPr>
            <w:tcW w:w="1979" w:type="dxa"/>
          </w:tcPr>
          <w:p w14:paraId="12388D3D" w14:textId="77777777" w:rsidR="00FF197C" w:rsidRDefault="00FF197C" w:rsidP="00FF197C"/>
        </w:tc>
        <w:tc>
          <w:tcPr>
            <w:tcW w:w="1979" w:type="dxa"/>
          </w:tcPr>
          <w:p w14:paraId="1E8F138F" w14:textId="77777777" w:rsidR="00FF197C" w:rsidRDefault="00FF197C" w:rsidP="00FF197C"/>
        </w:tc>
      </w:tr>
      <w:tr w:rsidR="00FF197C" w14:paraId="10B665EF" w14:textId="77777777" w:rsidTr="00C31226">
        <w:tc>
          <w:tcPr>
            <w:tcW w:w="715" w:type="dxa"/>
          </w:tcPr>
          <w:p w14:paraId="58C81597" w14:textId="0B87C07B" w:rsidR="00FF197C" w:rsidRDefault="005E252A" w:rsidP="00FF197C">
            <w:r>
              <w:t>3</w:t>
            </w:r>
          </w:p>
        </w:tc>
        <w:tc>
          <w:tcPr>
            <w:tcW w:w="2160" w:type="dxa"/>
          </w:tcPr>
          <w:p w14:paraId="0EF11EB2" w14:textId="77777777" w:rsidR="00FF197C" w:rsidRDefault="00FF197C" w:rsidP="00FF197C"/>
        </w:tc>
        <w:tc>
          <w:tcPr>
            <w:tcW w:w="2250" w:type="dxa"/>
          </w:tcPr>
          <w:p w14:paraId="53334829" w14:textId="77777777" w:rsidR="00FF197C" w:rsidRDefault="00FF197C" w:rsidP="00FF197C"/>
        </w:tc>
        <w:tc>
          <w:tcPr>
            <w:tcW w:w="2610" w:type="dxa"/>
          </w:tcPr>
          <w:p w14:paraId="71644141" w14:textId="77777777" w:rsidR="00FF197C" w:rsidRDefault="00FF197C" w:rsidP="00FF197C"/>
        </w:tc>
        <w:tc>
          <w:tcPr>
            <w:tcW w:w="2158" w:type="dxa"/>
          </w:tcPr>
          <w:p w14:paraId="2E285E30" w14:textId="77777777" w:rsidR="00FF197C" w:rsidRDefault="00FF197C" w:rsidP="00FF197C"/>
        </w:tc>
        <w:tc>
          <w:tcPr>
            <w:tcW w:w="1979" w:type="dxa"/>
          </w:tcPr>
          <w:p w14:paraId="5DB22FC7" w14:textId="77777777" w:rsidR="00FF197C" w:rsidRDefault="00FF197C" w:rsidP="00FF197C"/>
        </w:tc>
        <w:tc>
          <w:tcPr>
            <w:tcW w:w="1979" w:type="dxa"/>
          </w:tcPr>
          <w:p w14:paraId="17DFC50E" w14:textId="77777777" w:rsidR="00FF197C" w:rsidRDefault="00FF197C" w:rsidP="00FF197C"/>
        </w:tc>
        <w:tc>
          <w:tcPr>
            <w:tcW w:w="1979" w:type="dxa"/>
          </w:tcPr>
          <w:p w14:paraId="7E9762CE" w14:textId="77777777" w:rsidR="00FF197C" w:rsidRDefault="00FF197C" w:rsidP="00FF197C"/>
        </w:tc>
      </w:tr>
      <w:tr w:rsidR="00FF197C" w14:paraId="2C12B155" w14:textId="77777777" w:rsidTr="00C31226">
        <w:tc>
          <w:tcPr>
            <w:tcW w:w="715" w:type="dxa"/>
          </w:tcPr>
          <w:p w14:paraId="40714748" w14:textId="71EFD8F1" w:rsidR="00FF197C" w:rsidRDefault="005E252A" w:rsidP="00FF197C">
            <w:r>
              <w:t>4</w:t>
            </w:r>
          </w:p>
        </w:tc>
        <w:tc>
          <w:tcPr>
            <w:tcW w:w="2160" w:type="dxa"/>
          </w:tcPr>
          <w:p w14:paraId="54C87D9B" w14:textId="77777777" w:rsidR="00FF197C" w:rsidRDefault="00FF197C" w:rsidP="00FF197C"/>
        </w:tc>
        <w:tc>
          <w:tcPr>
            <w:tcW w:w="2250" w:type="dxa"/>
          </w:tcPr>
          <w:p w14:paraId="2A878517" w14:textId="77777777" w:rsidR="00FF197C" w:rsidRDefault="00FF197C" w:rsidP="00FF197C"/>
        </w:tc>
        <w:tc>
          <w:tcPr>
            <w:tcW w:w="2610" w:type="dxa"/>
          </w:tcPr>
          <w:p w14:paraId="2C099EC5" w14:textId="77777777" w:rsidR="00FF197C" w:rsidRDefault="00FF197C" w:rsidP="00FF197C"/>
        </w:tc>
        <w:tc>
          <w:tcPr>
            <w:tcW w:w="2158" w:type="dxa"/>
          </w:tcPr>
          <w:p w14:paraId="081CB620" w14:textId="77777777" w:rsidR="00FF197C" w:rsidRDefault="00FF197C" w:rsidP="00FF197C"/>
        </w:tc>
        <w:tc>
          <w:tcPr>
            <w:tcW w:w="1979" w:type="dxa"/>
          </w:tcPr>
          <w:p w14:paraId="508392D6" w14:textId="77777777" w:rsidR="00FF197C" w:rsidRDefault="00FF197C" w:rsidP="00FF197C"/>
        </w:tc>
        <w:tc>
          <w:tcPr>
            <w:tcW w:w="1979" w:type="dxa"/>
          </w:tcPr>
          <w:p w14:paraId="62A4F1D5" w14:textId="77777777" w:rsidR="00FF197C" w:rsidRDefault="00FF197C" w:rsidP="00FF197C"/>
        </w:tc>
        <w:tc>
          <w:tcPr>
            <w:tcW w:w="1979" w:type="dxa"/>
          </w:tcPr>
          <w:p w14:paraId="6CDE6D44" w14:textId="77777777" w:rsidR="00FF197C" w:rsidRDefault="00FF197C" w:rsidP="00FF197C"/>
        </w:tc>
      </w:tr>
      <w:tr w:rsidR="00FF197C" w14:paraId="44E394D2" w14:textId="77777777" w:rsidTr="00C31226">
        <w:tc>
          <w:tcPr>
            <w:tcW w:w="715" w:type="dxa"/>
          </w:tcPr>
          <w:p w14:paraId="6429C572" w14:textId="1962807A" w:rsidR="00FF197C" w:rsidRDefault="005E252A" w:rsidP="00FF197C">
            <w:r>
              <w:t>5</w:t>
            </w:r>
          </w:p>
        </w:tc>
        <w:tc>
          <w:tcPr>
            <w:tcW w:w="2160" w:type="dxa"/>
          </w:tcPr>
          <w:p w14:paraId="31888FC4" w14:textId="77777777" w:rsidR="00FF197C" w:rsidRDefault="00FF197C" w:rsidP="00FF197C"/>
        </w:tc>
        <w:tc>
          <w:tcPr>
            <w:tcW w:w="2250" w:type="dxa"/>
          </w:tcPr>
          <w:p w14:paraId="5F001483" w14:textId="77777777" w:rsidR="00FF197C" w:rsidRDefault="00FF197C" w:rsidP="00FF197C"/>
        </w:tc>
        <w:tc>
          <w:tcPr>
            <w:tcW w:w="2610" w:type="dxa"/>
          </w:tcPr>
          <w:p w14:paraId="211FDC47" w14:textId="77777777" w:rsidR="00FF197C" w:rsidRDefault="00FF197C" w:rsidP="00FF197C"/>
        </w:tc>
        <w:tc>
          <w:tcPr>
            <w:tcW w:w="2158" w:type="dxa"/>
          </w:tcPr>
          <w:p w14:paraId="5E525ED7" w14:textId="77777777" w:rsidR="00FF197C" w:rsidRDefault="00FF197C" w:rsidP="00FF197C"/>
        </w:tc>
        <w:tc>
          <w:tcPr>
            <w:tcW w:w="1979" w:type="dxa"/>
          </w:tcPr>
          <w:p w14:paraId="190D5026" w14:textId="77777777" w:rsidR="00FF197C" w:rsidRDefault="00FF197C" w:rsidP="00FF197C"/>
        </w:tc>
        <w:tc>
          <w:tcPr>
            <w:tcW w:w="1979" w:type="dxa"/>
          </w:tcPr>
          <w:p w14:paraId="2EC886D1" w14:textId="77777777" w:rsidR="00FF197C" w:rsidRDefault="00FF197C" w:rsidP="00FF197C"/>
        </w:tc>
        <w:tc>
          <w:tcPr>
            <w:tcW w:w="1979" w:type="dxa"/>
          </w:tcPr>
          <w:p w14:paraId="5DE8BE90" w14:textId="77777777" w:rsidR="00FF197C" w:rsidRDefault="00FF197C" w:rsidP="00FF197C"/>
        </w:tc>
      </w:tr>
    </w:tbl>
    <w:p w14:paraId="673631CA" w14:textId="77777777" w:rsidR="00D62498" w:rsidRDefault="00D62498" w:rsidP="00D62498">
      <w:pPr>
        <w:spacing w:after="0" w:line="240" w:lineRule="auto"/>
      </w:pPr>
    </w:p>
    <w:p w14:paraId="0DED3EEB" w14:textId="1FC1C1D8" w:rsidR="00C31226" w:rsidRDefault="00C31226" w:rsidP="00D62498">
      <w:pPr>
        <w:spacing w:after="0" w:line="240" w:lineRule="auto"/>
      </w:pPr>
      <w:r>
        <w:t xml:space="preserve">Blended learning template user notes </w:t>
      </w:r>
    </w:p>
    <w:p w14:paraId="650514EB" w14:textId="74519F55" w:rsidR="00C31226" w:rsidRDefault="00C31226" w:rsidP="00C31226">
      <w:pPr>
        <w:pStyle w:val="ListParagraph"/>
        <w:numPr>
          <w:ilvl w:val="1"/>
          <w:numId w:val="1"/>
        </w:numPr>
        <w:spacing w:after="0" w:line="240" w:lineRule="auto"/>
      </w:pPr>
      <w:r>
        <w:t xml:space="preserve">The idea behind this template is very simple and similar to many lesson-planning tools. In particular, it is meant to support teamwork involved in developing learning designs and to help in providing documentation to help others to pick up a course and redesign it if necessary. It is intended that the user would alter this template to their needs. </w:t>
      </w:r>
    </w:p>
    <w:p w14:paraId="7A5A6BFF" w14:textId="77777777" w:rsidR="00D62498" w:rsidRDefault="00D62498" w:rsidP="00D62498">
      <w:pPr>
        <w:pStyle w:val="ListParagraph"/>
        <w:spacing w:after="0" w:line="240" w:lineRule="auto"/>
        <w:ind w:left="360"/>
      </w:pPr>
    </w:p>
    <w:p w14:paraId="1C5B9893" w14:textId="79EE1A08" w:rsidR="00C31226" w:rsidRDefault="00C31226" w:rsidP="00C31226">
      <w:pPr>
        <w:pStyle w:val="ListParagraph"/>
        <w:numPr>
          <w:ilvl w:val="1"/>
          <w:numId w:val="1"/>
        </w:numPr>
        <w:spacing w:after="0" w:line="240" w:lineRule="auto"/>
        <w:rPr>
          <w:i/>
          <w:iCs/>
          <w:u w:val="single"/>
        </w:rPr>
      </w:pPr>
      <w:r>
        <w:t xml:space="preserve">The template can be used for different time periods, from a lesson up to a complete course. Obviously, longer time periods involve more </w:t>
      </w:r>
      <w:proofErr w:type="gramStart"/>
      <w:r>
        <w:t>top</w:t>
      </w:r>
      <w:r w:rsidR="00D62498">
        <w:t xml:space="preserve"> </w:t>
      </w:r>
      <w:r>
        <w:t>level</w:t>
      </w:r>
      <w:proofErr w:type="gramEnd"/>
      <w:r>
        <w:t xml:space="preserve"> information, </w:t>
      </w:r>
      <w:r w:rsidRPr="00D62498">
        <w:rPr>
          <w:i/>
          <w:iCs/>
          <w:u w:val="single"/>
        </w:rPr>
        <w:t xml:space="preserve">while a weekly template might provide more lower-level detail, and a ‘class’ or lesson template would be more concerned with detailed pedagogic activity and tactics. </w:t>
      </w:r>
    </w:p>
    <w:p w14:paraId="3E69A39C" w14:textId="77777777" w:rsidR="00D62498" w:rsidRPr="00D62498" w:rsidRDefault="00D62498" w:rsidP="00D62498">
      <w:pPr>
        <w:spacing w:after="0" w:line="240" w:lineRule="auto"/>
        <w:rPr>
          <w:i/>
          <w:iCs/>
          <w:u w:val="single"/>
        </w:rPr>
      </w:pPr>
    </w:p>
    <w:p w14:paraId="6B1A016E" w14:textId="2A95AC6B" w:rsidR="00C31226" w:rsidRDefault="00C31226" w:rsidP="00C31226">
      <w:pPr>
        <w:pStyle w:val="ListParagraph"/>
        <w:numPr>
          <w:ilvl w:val="1"/>
          <w:numId w:val="1"/>
        </w:numPr>
        <w:spacing w:after="0" w:line="240" w:lineRule="auto"/>
      </w:pPr>
      <w:r>
        <w:t xml:space="preserve">The column headings break the teaching and learning activities down into related chunks and provide a way for us to plan and record our designs – or, if you like, to choreograph the actions of students and teachers in relation to the resources and services they are going to make use of. </w:t>
      </w:r>
    </w:p>
    <w:p w14:paraId="4B043B92" w14:textId="77777777" w:rsidR="00D62498" w:rsidRDefault="00D62498" w:rsidP="00D62498">
      <w:pPr>
        <w:spacing w:after="0" w:line="240" w:lineRule="auto"/>
      </w:pPr>
    </w:p>
    <w:p w14:paraId="5EAC59B7" w14:textId="6B5119FB" w:rsidR="00C31226" w:rsidRDefault="00C31226" w:rsidP="00C31226">
      <w:pPr>
        <w:pStyle w:val="ListParagraph"/>
        <w:numPr>
          <w:ilvl w:val="1"/>
          <w:numId w:val="1"/>
        </w:numPr>
        <w:spacing w:after="0" w:line="240" w:lineRule="auto"/>
      </w:pPr>
      <w:r>
        <w:t>The template only allows brief entries – a good thing in our view. The letters at the head of the columns and the numbers at the start of the rows allow us to reference any square on the grid to a Microsoft Word document, where more detailed information can be entered.</w:t>
      </w:r>
    </w:p>
    <w:p w14:paraId="674D4B44" w14:textId="77777777" w:rsidR="00D62498" w:rsidRDefault="00D62498" w:rsidP="00D62498">
      <w:pPr>
        <w:spacing w:after="0" w:line="240" w:lineRule="auto"/>
      </w:pPr>
    </w:p>
    <w:p w14:paraId="4EEAE49D" w14:textId="2B21131D" w:rsidR="00C31226" w:rsidRDefault="00722FE3" w:rsidP="00722FE3">
      <w:pPr>
        <w:spacing w:after="0" w:line="240" w:lineRule="auto"/>
      </w:pPr>
      <w:r>
        <w:t>*</w:t>
      </w:r>
      <w:r w:rsidR="00C9344C">
        <w:t xml:space="preserve">Adopted from and </w:t>
      </w:r>
      <w:r w:rsidR="00684B80">
        <w:t>m</w:t>
      </w:r>
      <w:r>
        <w:t>odified</w:t>
      </w:r>
      <w:r w:rsidR="00C9344C">
        <w:t>:</w:t>
      </w:r>
      <w:r>
        <w:t xml:space="preserve"> </w:t>
      </w:r>
      <w:r w:rsidR="00C9344C">
        <w:t xml:space="preserve">Casey, J., &amp; Wilson, P. (2005). </w:t>
      </w:r>
      <w:r>
        <w:t>A practical guide to providing flexible learning in further and higher education</w:t>
      </w:r>
      <w:r w:rsidR="00C9344C">
        <w:t xml:space="preserve">. Retrieved from: </w:t>
      </w:r>
      <w:hyperlink r:id="rId5" w:history="1">
        <w:r w:rsidR="00C9344C">
          <w:rPr>
            <w:rStyle w:val="Hyperlink"/>
          </w:rPr>
          <w:t>https://www.enhancementthemes.ac.uk/docs/ethemes/flexible-delivery/a-practical-guide-to-providing-flexible-learning-in-further-and-higher-education.pdf?sfvrsn=1c2ef981_8</w:t>
        </w:r>
      </w:hyperlink>
    </w:p>
    <w:p w14:paraId="5FCE06F1" w14:textId="77777777" w:rsidR="00C9344C" w:rsidRDefault="00C9344C" w:rsidP="00722FE3">
      <w:pPr>
        <w:spacing w:after="0" w:line="240" w:lineRule="auto"/>
      </w:pPr>
    </w:p>
    <w:p w14:paraId="7FFF74F5" w14:textId="0636E074" w:rsidR="009A17F7" w:rsidRDefault="009A17F7" w:rsidP="00C31226">
      <w:pPr>
        <w:spacing w:after="0" w:line="240" w:lineRule="auto"/>
      </w:pPr>
    </w:p>
    <w:p w14:paraId="024D88F4" w14:textId="738B9EB4" w:rsidR="009A17F7" w:rsidRDefault="009A17F7" w:rsidP="00C31226">
      <w:pPr>
        <w:spacing w:after="0" w:line="240" w:lineRule="auto"/>
      </w:pPr>
    </w:p>
    <w:sectPr w:rsidR="009A17F7" w:rsidSect="00FF197C">
      <w:pgSz w:w="1872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3483C"/>
    <w:multiLevelType w:val="hybridMultilevel"/>
    <w:tmpl w:val="1590770A"/>
    <w:lvl w:ilvl="0" w:tplc="D1F07D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FD5B35"/>
    <w:multiLevelType w:val="multilevel"/>
    <w:tmpl w:val="AB86D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C"/>
    <w:rsid w:val="000E298D"/>
    <w:rsid w:val="00200CE8"/>
    <w:rsid w:val="00352476"/>
    <w:rsid w:val="003D67C8"/>
    <w:rsid w:val="00400499"/>
    <w:rsid w:val="0044508C"/>
    <w:rsid w:val="004870C8"/>
    <w:rsid w:val="0059521A"/>
    <w:rsid w:val="005A6226"/>
    <w:rsid w:val="005C4E27"/>
    <w:rsid w:val="005E252A"/>
    <w:rsid w:val="00684B80"/>
    <w:rsid w:val="006D55DF"/>
    <w:rsid w:val="00722FE3"/>
    <w:rsid w:val="009669D1"/>
    <w:rsid w:val="00980897"/>
    <w:rsid w:val="009A17F7"/>
    <w:rsid w:val="009A278F"/>
    <w:rsid w:val="00A07810"/>
    <w:rsid w:val="00A401D3"/>
    <w:rsid w:val="00A66B1F"/>
    <w:rsid w:val="00A763CA"/>
    <w:rsid w:val="00B204C4"/>
    <w:rsid w:val="00BE7156"/>
    <w:rsid w:val="00C277A4"/>
    <w:rsid w:val="00C31226"/>
    <w:rsid w:val="00C9344C"/>
    <w:rsid w:val="00D62498"/>
    <w:rsid w:val="00E11015"/>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F4D7"/>
  <w15:chartTrackingRefBased/>
  <w15:docId w15:val="{FCFB335B-2D5A-4ABC-8785-E52960E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26"/>
    <w:pPr>
      <w:ind w:left="720"/>
      <w:contextualSpacing/>
    </w:pPr>
  </w:style>
  <w:style w:type="paragraph" w:styleId="BalloonText">
    <w:name w:val="Balloon Text"/>
    <w:basedOn w:val="Normal"/>
    <w:link w:val="BalloonTextChar"/>
    <w:uiPriority w:val="99"/>
    <w:semiHidden/>
    <w:unhideWhenUsed/>
    <w:rsid w:val="0098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97"/>
    <w:rPr>
      <w:rFonts w:ascii="Segoe UI" w:hAnsi="Segoe UI" w:cs="Segoe UI"/>
      <w:sz w:val="18"/>
      <w:szCs w:val="18"/>
    </w:rPr>
  </w:style>
  <w:style w:type="character" w:styleId="Hyperlink">
    <w:name w:val="Hyperlink"/>
    <w:basedOn w:val="DefaultParagraphFont"/>
    <w:uiPriority w:val="99"/>
    <w:semiHidden/>
    <w:unhideWhenUsed/>
    <w:rsid w:val="00C93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hancementthemes.ac.uk/docs/ethemes/flexible-delivery/a-practical-guide-to-providing-flexible-learning-in-further-and-higher-education.pdf?sfvrsn=1c2ef981_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2020-04-23T01:43:00Z</cp:lastPrinted>
  <dcterms:created xsi:type="dcterms:W3CDTF">2020-04-23T03:52:00Z</dcterms:created>
  <dcterms:modified xsi:type="dcterms:W3CDTF">2020-04-23T03:52:00Z</dcterms:modified>
</cp:coreProperties>
</file>